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E9E780" w14:textId="1854ED1B" w:rsidR="00241471" w:rsidRDefault="00241471" w:rsidP="00B8536C">
      <w:pPr>
        <w:ind w:right="4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ANEXO X</w:t>
      </w:r>
      <w:r w:rsidR="00A64523">
        <w:rPr>
          <w:rFonts w:ascii="Times New Roman" w:hAnsi="Times New Roman" w:cs="Times New Roman"/>
          <w:b/>
          <w:sz w:val="20"/>
        </w:rPr>
        <w:t>V</w:t>
      </w:r>
      <w:r w:rsidR="00EE496B">
        <w:rPr>
          <w:rFonts w:ascii="Times New Roman" w:hAnsi="Times New Roman" w:cs="Times New Roman"/>
          <w:b/>
          <w:sz w:val="20"/>
        </w:rPr>
        <w:t>I</w:t>
      </w:r>
    </w:p>
    <w:p w14:paraId="175ED4DD" w14:textId="77777777" w:rsidR="005E385A" w:rsidRPr="00AE78F9" w:rsidRDefault="005E385A" w:rsidP="00B8536C">
      <w:pPr>
        <w:ind w:right="4"/>
        <w:jc w:val="center"/>
        <w:rPr>
          <w:rFonts w:ascii="Times New Roman" w:hAnsi="Times New Roman" w:cs="Times New Roman"/>
          <w:b/>
          <w:sz w:val="20"/>
        </w:rPr>
      </w:pPr>
    </w:p>
    <w:p w14:paraId="4E630279" w14:textId="77777777" w:rsidR="00241471" w:rsidRPr="00AE78F9" w:rsidRDefault="00241471" w:rsidP="00B8536C">
      <w:pPr>
        <w:ind w:right="4"/>
        <w:jc w:val="center"/>
        <w:rPr>
          <w:rFonts w:ascii="Times New Roman" w:hAnsi="Times New Roman" w:cs="Times New Roman"/>
          <w:sz w:val="20"/>
        </w:rPr>
      </w:pPr>
    </w:p>
    <w:p w14:paraId="4762C827" w14:textId="77777777" w:rsidR="00241471" w:rsidRDefault="00241471" w:rsidP="00B8536C">
      <w:pPr>
        <w:ind w:right="4"/>
        <w:jc w:val="center"/>
        <w:rPr>
          <w:rFonts w:ascii="Times New Roman" w:hAnsi="Times New Roman" w:cs="Times New Roman"/>
          <w:b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CONTA VINCULADA PARA A QUITAÇÃO DAS OBRIGAÇÕES TRABALHISTAS</w:t>
      </w:r>
    </w:p>
    <w:p w14:paraId="52E10813" w14:textId="77777777" w:rsidR="005E385A" w:rsidRPr="00AE78F9" w:rsidRDefault="005E385A" w:rsidP="00B8536C">
      <w:pPr>
        <w:ind w:right="4"/>
        <w:jc w:val="center"/>
        <w:rPr>
          <w:rFonts w:ascii="Times New Roman" w:hAnsi="Times New Roman" w:cs="Times New Roman"/>
          <w:b/>
          <w:sz w:val="20"/>
        </w:rPr>
      </w:pPr>
    </w:p>
    <w:p w14:paraId="33A56519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6B243D42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1.</w:t>
      </w:r>
      <w:r w:rsidRPr="00AE78F9">
        <w:rPr>
          <w:rFonts w:ascii="Times New Roman" w:hAnsi="Times New Roman" w:cs="Times New Roman"/>
          <w:sz w:val="20"/>
        </w:rPr>
        <w:t xml:space="preserve"> As provisões realizadas pela Administração contratante para o pagamento dos encargos trabalhistas de que trata este Anexo, em relação à mão de obra das empresas contratadas para prestar serviços de forma contínua, por meio de dedicação exclusiva de mão de obra, serão destacadas do valor mensal do contrato e serão depositados pela Administração em conta vinculada, doravante, denominada conta-depósito vinculada - bloqueada para movimentação, aberta em nome do prestador de serviço.</w:t>
      </w:r>
    </w:p>
    <w:p w14:paraId="684EEA43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1.1</w:t>
      </w:r>
      <w:r w:rsidRPr="00AE78F9">
        <w:rPr>
          <w:rFonts w:ascii="Times New Roman" w:hAnsi="Times New Roman" w:cs="Times New Roman"/>
          <w:sz w:val="20"/>
        </w:rPr>
        <w:t xml:space="preserve"> A movimentação da conta-depósito vinculada - bloqueada para movimentação dependerá de autorização do órgão ou entidade contratante e será feita exclusivamente para o pagamento das obrigações a seguir:</w:t>
      </w:r>
    </w:p>
    <w:p w14:paraId="367DEBB9" w14:textId="77777777" w:rsidR="00241471" w:rsidRPr="00AE78F9" w:rsidRDefault="00241471" w:rsidP="00241471">
      <w:pPr>
        <w:ind w:left="144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1.1.1</w:t>
      </w:r>
      <w:r w:rsidRPr="00AE78F9">
        <w:rPr>
          <w:rFonts w:ascii="Times New Roman" w:hAnsi="Times New Roman" w:cs="Times New Roman"/>
          <w:sz w:val="20"/>
        </w:rPr>
        <w:t xml:space="preserve"> O montante dos depósitos da conta-depósito vinculada - bloqueada para movimentação será igual ao somatório dos valores das seguintes provisões:</w:t>
      </w:r>
    </w:p>
    <w:p w14:paraId="17C8FAD1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44AD8E7" w14:textId="77777777" w:rsidR="00241471" w:rsidRPr="00AE78F9" w:rsidRDefault="00241471" w:rsidP="00241471">
      <w:pPr>
        <w:ind w:left="1440" w:right="4" w:firstLine="720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I</w:t>
      </w:r>
      <w:r w:rsidRPr="00AE78F9">
        <w:rPr>
          <w:rFonts w:ascii="Times New Roman" w:hAnsi="Times New Roman" w:cs="Times New Roman"/>
          <w:sz w:val="20"/>
        </w:rPr>
        <w:tab/>
        <w:t>- 13o (décimo terceiro) salário;</w:t>
      </w:r>
    </w:p>
    <w:p w14:paraId="166FD982" w14:textId="77777777" w:rsidR="00241471" w:rsidRPr="00AE78F9" w:rsidRDefault="00241471" w:rsidP="00241471">
      <w:pPr>
        <w:ind w:left="1440" w:right="4" w:firstLine="720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II</w:t>
      </w:r>
      <w:r w:rsidRPr="00AE78F9">
        <w:rPr>
          <w:rFonts w:ascii="Times New Roman" w:hAnsi="Times New Roman" w:cs="Times New Roman"/>
          <w:sz w:val="20"/>
        </w:rPr>
        <w:tab/>
        <w:t xml:space="preserve">- </w:t>
      </w:r>
      <w:proofErr w:type="gramStart"/>
      <w:r w:rsidRPr="00AE78F9">
        <w:rPr>
          <w:rFonts w:ascii="Times New Roman" w:hAnsi="Times New Roman" w:cs="Times New Roman"/>
          <w:sz w:val="20"/>
        </w:rPr>
        <w:t>férias</w:t>
      </w:r>
      <w:proofErr w:type="gramEnd"/>
      <w:r w:rsidRPr="00AE78F9">
        <w:rPr>
          <w:rFonts w:ascii="Times New Roman" w:hAnsi="Times New Roman" w:cs="Times New Roman"/>
          <w:sz w:val="20"/>
        </w:rPr>
        <w:t xml:space="preserve"> e um terço constitucional de férias;</w:t>
      </w:r>
    </w:p>
    <w:p w14:paraId="5BF7FD8F" w14:textId="77777777" w:rsidR="00241471" w:rsidRPr="00AE78F9" w:rsidRDefault="00241471" w:rsidP="00241471">
      <w:pPr>
        <w:ind w:left="216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III</w:t>
      </w:r>
      <w:r w:rsidRPr="00AE78F9">
        <w:rPr>
          <w:rFonts w:ascii="Times New Roman" w:hAnsi="Times New Roman" w:cs="Times New Roman"/>
          <w:sz w:val="20"/>
        </w:rPr>
        <w:tab/>
        <w:t>- multa sobre o FGTS e contribuição social para as rescisões sem justa causa; e IV - encargos sobre férias e 13o (décimo terceiro) salário.</w:t>
      </w:r>
    </w:p>
    <w:p w14:paraId="53C72CAB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1.2</w:t>
      </w:r>
      <w:r w:rsidRPr="00AE78F9">
        <w:rPr>
          <w:rFonts w:ascii="Times New Roman" w:hAnsi="Times New Roman" w:cs="Times New Roman"/>
          <w:sz w:val="20"/>
        </w:rPr>
        <w:t xml:space="preserve"> O órgão ou entidade contratante deverá firmar Termo de Cooperação Técnica com Instituição Financeira, cuja minuta se constituirá anexo do Edital, o qual determinará os termos para a abertura da conta-depósito vinculada - bloqueada para movimentação e as condições de sua movimentação.</w:t>
      </w:r>
    </w:p>
    <w:p w14:paraId="1B096E2C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1.3</w:t>
      </w:r>
      <w:r w:rsidRPr="00AE78F9">
        <w:rPr>
          <w:rFonts w:ascii="Times New Roman" w:hAnsi="Times New Roman" w:cs="Times New Roman"/>
          <w:sz w:val="20"/>
        </w:rPr>
        <w:t xml:space="preserve"> O Termo de Cooperação Técnica poderá ser ajustado às peculiaridades dos serviços, objeto do Contrato Administrativo, e/ou aos procedimentos internos da Instituição Financeira, nos termos deste Anexo.</w:t>
      </w:r>
    </w:p>
    <w:p w14:paraId="53D43D7D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2.</w:t>
      </w:r>
      <w:r w:rsidRPr="00AE78F9">
        <w:rPr>
          <w:rFonts w:ascii="Times New Roman" w:hAnsi="Times New Roman" w:cs="Times New Roman"/>
          <w:sz w:val="20"/>
        </w:rPr>
        <w:t xml:space="preserve"> A assinatura do contrato de prestação de serviços entre o órgão ou entidade contratante e a empresa vencedora do certame será precedida dos seguintes atos:</w:t>
      </w:r>
    </w:p>
    <w:p w14:paraId="1047C466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2.1</w:t>
      </w:r>
      <w:r w:rsidRPr="00AE78F9">
        <w:rPr>
          <w:rFonts w:ascii="Times New Roman" w:hAnsi="Times New Roman" w:cs="Times New Roman"/>
          <w:sz w:val="20"/>
        </w:rPr>
        <w:t>. Solicitação do órgão ou entidade contratante, mediante oficio, de abertura da conta- depósito vinculada-bloqueada para movimentação, conforme disposto no item 1;</w:t>
      </w:r>
    </w:p>
    <w:p w14:paraId="2C462452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2.2</w:t>
      </w:r>
      <w:r w:rsidRPr="00AE78F9">
        <w:rPr>
          <w:rFonts w:ascii="Times New Roman" w:hAnsi="Times New Roman" w:cs="Times New Roman"/>
          <w:sz w:val="20"/>
        </w:rPr>
        <w:t>. Assinatura, pela empresa a ser contratada, no ato da regularização da conta-depósito vinculada - bloqueada para movimentação, de termo de autorização que permita ao órgão ou entidade contratante ter acesso aos saldos e aos extratos, e que vincule a movimentação dos valores depositados mediante autorização do órgão contratante, nos termos do Anexo IX desta Instrução Normativa.</w:t>
      </w:r>
    </w:p>
    <w:p w14:paraId="19EC1829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</w:t>
      </w:r>
    </w:p>
    <w:p w14:paraId="1167A37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3.</w:t>
      </w:r>
      <w:r w:rsidRPr="00AE78F9">
        <w:rPr>
          <w:rFonts w:ascii="Times New Roman" w:hAnsi="Times New Roman" w:cs="Times New Roman"/>
          <w:sz w:val="20"/>
        </w:rPr>
        <w:t xml:space="preserve"> O saldo da conta-depósito vinculada - bloqueada para movimentação será remunerado pelo índice de correção da poupança pro rata die, conforme definido no respectivo Termo de Cooperação Técnica.</w:t>
      </w:r>
    </w:p>
    <w:p w14:paraId="4FF75D34" w14:textId="77777777" w:rsidR="00241471" w:rsidRPr="00AE78F9" w:rsidRDefault="00241471" w:rsidP="00241471">
      <w:pPr>
        <w:ind w:right="4" w:firstLine="720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3.1</w:t>
      </w:r>
      <w:r w:rsidRPr="00AE78F9">
        <w:rPr>
          <w:rFonts w:ascii="Times New Roman" w:hAnsi="Times New Roman" w:cs="Times New Roman"/>
          <w:sz w:val="20"/>
        </w:rPr>
        <w:t xml:space="preserve"> Eventual alteração da forma de correção da poupança prevista no item 3 deste Anexo implicará a revisão do Termo de Cooperação Técnica.</w:t>
      </w:r>
    </w:p>
    <w:p w14:paraId="5FBF8495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4</w:t>
      </w:r>
      <w:r w:rsidRPr="00AE78F9">
        <w:rPr>
          <w:rFonts w:ascii="Times New Roman" w:hAnsi="Times New Roman" w:cs="Times New Roman"/>
          <w:sz w:val="20"/>
        </w:rPr>
        <w:t>. Os valores referentes às provisões de encargos trabalhistas mencionados no subitem 1.1.1, retidos por meio da conta-depósito vinculada - bloqueada para movimentação, deixarão de compor o valor mensal a ser pago diretamente à empresa.</w:t>
      </w:r>
    </w:p>
    <w:p w14:paraId="514E2929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5</w:t>
      </w:r>
      <w:r w:rsidRPr="00AE78F9">
        <w:rPr>
          <w:rFonts w:ascii="Times New Roman" w:hAnsi="Times New Roman" w:cs="Times New Roman"/>
          <w:sz w:val="20"/>
        </w:rPr>
        <w:t>. Os editais deverão conter expressamente as regras previstas neste Anexo e documento de autorização para a criação da conta-depósito vinculada - bloqueada para movimentação, que deverá ser assinado pela contratada, nos termos do art. 19-A desta Instrução Normativa.</w:t>
      </w:r>
    </w:p>
    <w:p w14:paraId="3E8DEC5A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lastRenderedPageBreak/>
        <w:t>6.</w:t>
      </w:r>
      <w:r w:rsidRPr="00AE78F9">
        <w:rPr>
          <w:rFonts w:ascii="Times New Roman" w:hAnsi="Times New Roman" w:cs="Times New Roman"/>
          <w:sz w:val="20"/>
        </w:rPr>
        <w:t xml:space="preserve"> Os órgãos ou entidades da Administração Pública Federal poderão negociar com a Instituição Financeira, caso haja cobrança de tarifas bancárias, a isenção ou redução das referidas tarifas para abertura e movimentação da conta-depósito vinculada – bloqueada para movimentação.</w:t>
      </w:r>
    </w:p>
    <w:p w14:paraId="65B10618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7</w:t>
      </w:r>
      <w:r w:rsidRPr="00AE78F9">
        <w:rPr>
          <w:rFonts w:ascii="Times New Roman" w:hAnsi="Times New Roman" w:cs="Times New Roman"/>
          <w:sz w:val="20"/>
        </w:rPr>
        <w:t>. Os editais deverão informar aos proponentes que, em caso de cobrança de tarifa bancária para operacionalização da conta-depósito vinculada - bloqueada para movimentação, os recursos atinentes a essas despesas serão debitados dos valores depositados.</w:t>
      </w:r>
    </w:p>
    <w:p w14:paraId="5343B8E9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7.1</w:t>
      </w:r>
      <w:r w:rsidRPr="00AE78F9">
        <w:rPr>
          <w:rFonts w:ascii="Times New Roman" w:hAnsi="Times New Roman" w:cs="Times New Roman"/>
          <w:sz w:val="20"/>
        </w:rPr>
        <w:t xml:space="preserve"> Os recursos atinentes à cobrança de tarifa bancária para operacionalização da conta- depósito vinculada – bloqueada para movimentação poderão ser previstos na proposta da licitante.</w:t>
      </w:r>
    </w:p>
    <w:p w14:paraId="68199597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7.2</w:t>
      </w:r>
      <w:r w:rsidRPr="00AE78F9">
        <w:rPr>
          <w:rFonts w:ascii="Times New Roman" w:hAnsi="Times New Roman" w:cs="Times New Roman"/>
          <w:sz w:val="20"/>
        </w:rPr>
        <w:t xml:space="preserve"> Os editais deverão informar o valor total/global ou estimado das tarifas bancárias de modo que tal parcela possa constar da planilha apresentada pelos proponentes.</w:t>
      </w:r>
    </w:p>
    <w:p w14:paraId="388C9E9E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8.</w:t>
      </w:r>
      <w:r w:rsidRPr="00AE78F9">
        <w:rPr>
          <w:rFonts w:ascii="Times New Roman" w:hAnsi="Times New Roman" w:cs="Times New Roman"/>
          <w:sz w:val="20"/>
        </w:rPr>
        <w:t xml:space="preserve"> A empresa contratada poderá solicitar a autorização do órgão ou entidade contratante para utilizar os valores da conta-depósito vinculada - bloqueada para movimentação para o pagamento dos encargos trabalhistas previstos neste Anexo ou de eventuais indenizações trabalhistas aos empregados, decorrentes de situações ocorridas durante a vigência do contrato.</w:t>
      </w:r>
    </w:p>
    <w:p w14:paraId="05ADE84C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8.1</w:t>
      </w:r>
      <w:r w:rsidRPr="00AE78F9">
        <w:rPr>
          <w:rFonts w:ascii="Times New Roman" w:hAnsi="Times New Roman" w:cs="Times New Roman"/>
          <w:sz w:val="20"/>
        </w:rPr>
        <w:t xml:space="preserve"> Para a liberação dos recursos em conta-depósito vinculada - bloqueada para movimentação para o pagamento dos encargos trabalhistas ou de eventuais indenizações trabalhistas aos empregados, decorrentes de situações ocorridas durante a vigência do contrato, a empresa deverá apresentar ao órgão ou entidade contratante os documentos comprobatórios da ocorrência das obrigações trabalhistas e seus respectivos prazos de vencimento.</w:t>
      </w:r>
    </w:p>
    <w:p w14:paraId="7BB5575D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8.2</w:t>
      </w:r>
      <w:r w:rsidRPr="00AE78F9">
        <w:rPr>
          <w:rFonts w:ascii="Times New Roman" w:hAnsi="Times New Roman" w:cs="Times New Roman"/>
          <w:sz w:val="20"/>
        </w:rPr>
        <w:t xml:space="preserve"> Após a confirmação da ocorrência da situação que ensejou o pagamento dos encargos trabalhistas ou de eventual indenização trabalhista e a conferência dos cálculos, o órgão ou entidade contratante expedirá a autorização para a movimentação dos recursos creditados em conta-depósito vinculada - bloqueada para movimentação e a encaminhará à Instituição Financeira no prazo máximo de 5 (cinco) dias úteis, a contar da data da apresentação dos documentos comprobatórios pela empresa.</w:t>
      </w:r>
    </w:p>
    <w:p w14:paraId="76E58DFB" w14:textId="77777777" w:rsidR="00241471" w:rsidRPr="00AE78F9" w:rsidRDefault="00241471" w:rsidP="00241471">
      <w:pPr>
        <w:ind w:left="720"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8.3</w:t>
      </w:r>
      <w:r w:rsidRPr="00AE78F9">
        <w:rPr>
          <w:rFonts w:ascii="Times New Roman" w:hAnsi="Times New Roman" w:cs="Times New Roman"/>
          <w:sz w:val="20"/>
        </w:rPr>
        <w:t xml:space="preserve"> A autorização de que trata o item 8.2 deverá especificar que a movimentação será exclusiva para o pagamento dos encargos trabalhistas ou de eventual indenização trabalhista aos trabalhadores favorecidos.</w:t>
      </w:r>
    </w:p>
    <w:p w14:paraId="5F84D87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9</w:t>
      </w:r>
      <w:r w:rsidRPr="00AE78F9">
        <w:rPr>
          <w:rFonts w:ascii="Times New Roman" w:hAnsi="Times New Roman" w:cs="Times New Roman"/>
          <w:sz w:val="20"/>
        </w:rPr>
        <w:t>. A empresa deverá apresentar ao órgão ou entidade contratante, no prazo máximo de 3 (três) dias úteis, contados da movimentação, o comprovante das transferências bancárias realizadas para a quitação das obrigações trabalhistas.</w:t>
      </w:r>
    </w:p>
    <w:p w14:paraId="0671E218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10.</w:t>
      </w:r>
      <w:r w:rsidRPr="00AE78F9">
        <w:rPr>
          <w:rFonts w:ascii="Times New Roman" w:hAnsi="Times New Roman" w:cs="Times New Roman"/>
          <w:sz w:val="20"/>
        </w:rPr>
        <w:t xml:space="preserve"> O saldo remanescente dos recursos depositados na conta-depósito vinculada - bloqueada para movimentação será liberado à empresa no momento do encerramento do contrato, na presença do sindicato da categoria correspondente aos serviços contratados, após a comprovação da quitação de todos os encargos trabalhistas e previdenciários relativos ao serviço contratado.</w:t>
      </w:r>
    </w:p>
    <w:p w14:paraId="59FB6C6A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11.</w:t>
      </w:r>
      <w:r w:rsidRPr="00AE78F9">
        <w:rPr>
          <w:rFonts w:ascii="Times New Roman" w:hAnsi="Times New Roman" w:cs="Times New Roman"/>
          <w:sz w:val="20"/>
        </w:rPr>
        <w:t xml:space="preserve"> A Administração poderá utilizar como referência para fins de provisão dos encargos sociais e trabalhistas, o modelo de Planilha disponível no Portal de Compras do Governo Federal (Compras Governamentais), devendo adaptá-lo às especificidades dos serviços a ser contratados.</w:t>
      </w:r>
    </w:p>
    <w:p w14:paraId="1D7AF31B" w14:textId="77777777" w:rsidR="00241471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t>12.</w:t>
      </w:r>
      <w:r w:rsidRPr="00AE78F9">
        <w:rPr>
          <w:rFonts w:ascii="Times New Roman" w:hAnsi="Times New Roman" w:cs="Times New Roman"/>
          <w:sz w:val="20"/>
        </w:rPr>
        <w:t xml:space="preserve"> Os valores provisionados para atendimento do subitem 1.1.1 serão discriminados conforme tabela a seguir:</w:t>
      </w:r>
    </w:p>
    <w:p w14:paraId="15F62B53" w14:textId="77777777" w:rsidR="008F7607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428A691D" w14:textId="77777777" w:rsidR="008F7607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4242B7B2" w14:textId="77777777" w:rsidR="008F7607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257533B4" w14:textId="77777777" w:rsidR="008F7607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5B2FE1C6" w14:textId="77777777" w:rsidR="008F7607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AAD6A21" w14:textId="77777777" w:rsidR="008F7607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EE5AC9A" w14:textId="77777777" w:rsidR="008F7607" w:rsidRPr="00AE78F9" w:rsidRDefault="008F7607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10CD090F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24E14B69" w14:textId="77777777" w:rsidR="00241471" w:rsidRPr="00AE78F9" w:rsidRDefault="00241471" w:rsidP="00241471">
      <w:pPr>
        <w:ind w:right="4"/>
        <w:jc w:val="center"/>
        <w:rPr>
          <w:rFonts w:ascii="Times New Roman" w:hAnsi="Times New Roman" w:cs="Times New Roman"/>
          <w:b/>
          <w:sz w:val="20"/>
        </w:rPr>
      </w:pPr>
      <w:r w:rsidRPr="00AE78F9">
        <w:rPr>
          <w:rFonts w:ascii="Times New Roman" w:hAnsi="Times New Roman" w:cs="Times New Roman"/>
          <w:b/>
          <w:sz w:val="20"/>
        </w:rPr>
        <w:lastRenderedPageBreak/>
        <w:t>RESERVA MENSAL PARA O PAGAMENTO DE ENCARGOS TRABALHISTAS - PERCENTUAIS INCIDENTES SOBRE A REMUNERAÇÃO</w:t>
      </w:r>
    </w:p>
    <w:p w14:paraId="7216AF24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tbl>
      <w:tblPr>
        <w:tblStyle w:val="TableNormal"/>
        <w:tblW w:w="0" w:type="auto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4183"/>
        <w:gridCol w:w="2011"/>
        <w:gridCol w:w="1920"/>
        <w:gridCol w:w="1961"/>
      </w:tblGrid>
      <w:tr w:rsidR="00241471" w:rsidRPr="00AE78F9" w14:paraId="4130EE12" w14:textId="77777777" w:rsidTr="00241471">
        <w:trPr>
          <w:trHeight w:hRule="exact" w:val="286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9FA87" w14:textId="77777777" w:rsidR="00241471" w:rsidRPr="00AE78F9" w:rsidRDefault="00241471" w:rsidP="00241471">
            <w:pPr>
              <w:pStyle w:val="TableParagraph"/>
              <w:spacing w:line="267" w:lineRule="exact"/>
              <w:ind w:left="4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8F9">
              <w:rPr>
                <w:rFonts w:ascii="Times New Roman"/>
                <w:spacing w:val="-2"/>
                <w:sz w:val="20"/>
                <w:szCs w:val="20"/>
              </w:rPr>
              <w:t>ITEM</w:t>
            </w:r>
          </w:p>
        </w:tc>
        <w:tc>
          <w:tcPr>
            <w:tcW w:w="58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CF007" w14:textId="77777777" w:rsidR="00241471" w:rsidRPr="00AE78F9" w:rsidRDefault="00241471" w:rsidP="00241471">
            <w:pPr>
              <w:ind w:right="4"/>
              <w:rPr>
                <w:sz w:val="20"/>
              </w:rPr>
            </w:pPr>
          </w:p>
        </w:tc>
      </w:tr>
      <w:tr w:rsidR="00241471" w:rsidRPr="00AE78F9" w14:paraId="1204AE6E" w14:textId="77777777" w:rsidTr="00241471">
        <w:trPr>
          <w:trHeight w:hRule="exact" w:val="286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A04DB" w14:textId="77777777" w:rsidR="00241471" w:rsidRPr="00AE78F9" w:rsidRDefault="00241471" w:rsidP="00241471">
            <w:pPr>
              <w:pStyle w:val="TableParagraph"/>
              <w:spacing w:line="267" w:lineRule="exact"/>
              <w:ind w:left="66" w:right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8F9">
              <w:rPr>
                <w:rFonts w:ascii="Times New Roman" w:hAnsi="Times New Roman"/>
                <w:sz w:val="20"/>
                <w:szCs w:val="20"/>
              </w:rPr>
              <w:t>13</w:t>
            </w:r>
            <w:r w:rsidRPr="00AE78F9">
              <w:rPr>
                <w:rFonts w:ascii="Times New Roman" w:hAnsi="Times New Roman"/>
                <w:position w:val="11"/>
                <w:sz w:val="20"/>
                <w:szCs w:val="20"/>
              </w:rPr>
              <w:t>o</w:t>
            </w:r>
            <w:r w:rsidRPr="00AE78F9">
              <w:rPr>
                <w:rFonts w:ascii="Times New Roman" w:hAnsi="Times New Roman"/>
                <w:spacing w:val="9"/>
                <w:position w:val="11"/>
                <w:sz w:val="20"/>
                <w:szCs w:val="20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</w:rPr>
              <w:t>(décimo</w:t>
            </w:r>
            <w:r w:rsidRPr="00AE78F9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</w:rPr>
              <w:t>terceiro)</w:t>
            </w:r>
            <w:r w:rsidRPr="00AE78F9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</w:rPr>
              <w:t>salário</w:t>
            </w:r>
          </w:p>
        </w:tc>
        <w:tc>
          <w:tcPr>
            <w:tcW w:w="58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8F0A5" w14:textId="77777777" w:rsidR="00241471" w:rsidRPr="00AE78F9" w:rsidRDefault="00241471" w:rsidP="00241471">
            <w:pPr>
              <w:pStyle w:val="TableParagraph"/>
              <w:spacing w:line="267" w:lineRule="exact"/>
              <w:ind w:left="68" w:right="4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8,33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%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(oito</w:t>
            </w:r>
            <w:r w:rsidRPr="00AE78F9">
              <w:rPr>
                <w:rFonts w:ascii="Times New Roman" w:hAnsi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trinta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três</w:t>
            </w:r>
            <w:r w:rsidRPr="00AE78F9">
              <w:rPr>
                <w:rFonts w:ascii="Times New Roman" w:hAnsi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cento)</w:t>
            </w:r>
          </w:p>
        </w:tc>
      </w:tr>
      <w:tr w:rsidR="00241471" w:rsidRPr="00AE78F9" w14:paraId="7B1C04B7" w14:textId="77777777" w:rsidTr="00241471">
        <w:trPr>
          <w:trHeight w:hRule="exact" w:val="286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4662F" w14:textId="77777777" w:rsidR="00241471" w:rsidRPr="00AE78F9" w:rsidRDefault="00241471" w:rsidP="00241471">
            <w:pPr>
              <w:pStyle w:val="TableParagraph"/>
              <w:spacing w:line="267" w:lineRule="exact"/>
              <w:ind w:left="66" w:right="4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Férias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8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1/3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(um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terço)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constitucional</w:t>
            </w:r>
          </w:p>
        </w:tc>
        <w:tc>
          <w:tcPr>
            <w:tcW w:w="58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10A11" w14:textId="77777777" w:rsidR="00241471" w:rsidRPr="00AE78F9" w:rsidRDefault="00241471" w:rsidP="00241471">
            <w:pPr>
              <w:pStyle w:val="TableParagraph"/>
              <w:spacing w:line="267" w:lineRule="exact"/>
              <w:ind w:left="68" w:right="4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12,10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%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(doze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dez</w:t>
            </w:r>
            <w:r w:rsidRPr="00AE78F9">
              <w:rPr>
                <w:rFonts w:ascii="Times New Roman" w:hAnsi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cento)</w:t>
            </w:r>
          </w:p>
        </w:tc>
      </w:tr>
      <w:tr w:rsidR="00241471" w:rsidRPr="00AE78F9" w14:paraId="04DB2562" w14:textId="77777777" w:rsidTr="00241471">
        <w:trPr>
          <w:trHeight w:hRule="exact" w:val="838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DD8D0" w14:textId="77777777" w:rsidR="00241471" w:rsidRPr="00AE78F9" w:rsidRDefault="00241471" w:rsidP="00241471">
            <w:pPr>
              <w:pStyle w:val="TableParagraph"/>
              <w:ind w:left="66"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Multa</w:t>
            </w:r>
            <w:r w:rsidRPr="00AE78F9">
              <w:rPr>
                <w:rFonts w:ascii="Times New Roman" w:hAnsi="Times New Roman"/>
                <w:spacing w:val="32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sobre</w:t>
            </w:r>
            <w:r w:rsidRPr="00AE78F9">
              <w:rPr>
                <w:rFonts w:ascii="Times New Roman" w:hAnsi="Times New Roman"/>
                <w:spacing w:val="3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FGTS</w:t>
            </w:r>
            <w:r w:rsidRPr="00AE78F9">
              <w:rPr>
                <w:rFonts w:ascii="Times New Roman" w:hAnsi="Times New Roman"/>
                <w:spacing w:val="3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32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contribuição</w:t>
            </w:r>
            <w:r w:rsidRPr="00AE78F9">
              <w:rPr>
                <w:rFonts w:ascii="Times New Roman" w:hAnsi="Times New Roman"/>
                <w:spacing w:val="3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social</w:t>
            </w:r>
            <w:r w:rsidRPr="00AE78F9">
              <w:rPr>
                <w:rFonts w:ascii="Times New Roman" w:hAnsi="Times New Roman"/>
                <w:spacing w:val="33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sobre</w:t>
            </w:r>
            <w:r w:rsidRPr="00AE78F9">
              <w:rPr>
                <w:rFonts w:ascii="Times New Roman" w:hAnsi="Times New Roman"/>
                <w:spacing w:val="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AE78F9">
              <w:rPr>
                <w:rFonts w:ascii="Times New Roman" w:hAnsi="Times New Roman"/>
                <w:spacing w:val="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aviso</w:t>
            </w:r>
            <w:r w:rsidRPr="00AE78F9">
              <w:rPr>
                <w:rFonts w:ascii="Times New Roman" w:hAnsi="Times New Roman"/>
                <w:spacing w:val="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prévio</w:t>
            </w:r>
            <w:r w:rsidRPr="00AE78F9">
              <w:rPr>
                <w:rFonts w:ascii="Times New Roman" w:hAnsi="Times New Roman"/>
                <w:spacing w:val="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indenizado</w:t>
            </w:r>
            <w:r w:rsidRPr="00AE78F9">
              <w:rPr>
                <w:rFonts w:ascii="Times New Roman" w:hAnsi="Times New Roman"/>
                <w:spacing w:val="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sobre</w:t>
            </w:r>
            <w:r w:rsidRPr="00AE78F9">
              <w:rPr>
                <w:rFonts w:ascii="Times New Roman" w:hAnsi="Times New Roman"/>
                <w:spacing w:val="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o</w:t>
            </w:r>
            <w:r w:rsidRPr="00AE78F9">
              <w:rPr>
                <w:rFonts w:ascii="Times New Roman" w:hAnsi="Times New Roman"/>
                <w:spacing w:val="35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aviso</w:t>
            </w:r>
            <w:r w:rsidRPr="00AE78F9">
              <w:rPr>
                <w:rFonts w:ascii="Times New Roman" w:hAnsi="Times New Roman"/>
                <w:spacing w:val="-11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prévio</w:t>
            </w:r>
            <w:r w:rsidRPr="00AE78F9">
              <w:rPr>
                <w:rFonts w:ascii="Times New Roman" w:hAnsi="Times New Roman"/>
                <w:spacing w:val="-11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trabalhado</w:t>
            </w:r>
          </w:p>
        </w:tc>
        <w:tc>
          <w:tcPr>
            <w:tcW w:w="58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398FA" w14:textId="77777777" w:rsidR="00241471" w:rsidRPr="00AE78F9" w:rsidRDefault="00241471" w:rsidP="00241471">
            <w:pPr>
              <w:pStyle w:val="TableParagraph"/>
              <w:spacing w:before="2"/>
              <w:ind w:right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  <w:p w14:paraId="5E307A92" w14:textId="77777777" w:rsidR="00241471" w:rsidRPr="00AE78F9" w:rsidRDefault="00241471" w:rsidP="00241471">
            <w:pPr>
              <w:pStyle w:val="TableParagraph"/>
              <w:ind w:left="68" w:right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8F9">
              <w:rPr>
                <w:rFonts w:ascii="Times New Roman"/>
                <w:sz w:val="20"/>
                <w:szCs w:val="20"/>
              </w:rPr>
              <w:t>5,00</w:t>
            </w:r>
            <w:r w:rsidRPr="00AE78F9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AE78F9">
              <w:rPr>
                <w:rFonts w:ascii="Times New Roman"/>
                <w:sz w:val="20"/>
                <w:szCs w:val="20"/>
              </w:rPr>
              <w:t>%</w:t>
            </w:r>
            <w:r w:rsidRPr="00AE78F9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AE78F9">
              <w:rPr>
                <w:rFonts w:ascii="Times New Roman"/>
                <w:spacing w:val="-1"/>
                <w:sz w:val="20"/>
                <w:szCs w:val="20"/>
              </w:rPr>
              <w:t>(cinco</w:t>
            </w:r>
            <w:r w:rsidRPr="00AE78F9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AE78F9">
              <w:rPr>
                <w:rFonts w:ascii="Times New Roman"/>
                <w:sz w:val="20"/>
                <w:szCs w:val="20"/>
              </w:rPr>
              <w:t>por</w:t>
            </w:r>
            <w:r w:rsidRPr="00AE78F9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AE78F9">
              <w:rPr>
                <w:rFonts w:ascii="Times New Roman"/>
                <w:spacing w:val="-1"/>
                <w:sz w:val="20"/>
                <w:szCs w:val="20"/>
              </w:rPr>
              <w:t>cento)</w:t>
            </w:r>
          </w:p>
        </w:tc>
      </w:tr>
      <w:tr w:rsidR="00241471" w:rsidRPr="00AE78F9" w14:paraId="7071B64C" w14:textId="77777777" w:rsidTr="00241471">
        <w:trPr>
          <w:trHeight w:hRule="exact" w:val="286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5DB1E" w14:textId="77777777" w:rsidR="00241471" w:rsidRPr="00AE78F9" w:rsidRDefault="00241471" w:rsidP="00241471">
            <w:pPr>
              <w:pStyle w:val="TableParagraph"/>
              <w:spacing w:line="267" w:lineRule="exact"/>
              <w:ind w:left="66" w:right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8F9">
              <w:rPr>
                <w:rFonts w:ascii="Times New Roman"/>
                <w:sz w:val="20"/>
                <w:szCs w:val="20"/>
              </w:rPr>
              <w:t>Subtotal</w:t>
            </w:r>
          </w:p>
        </w:tc>
        <w:tc>
          <w:tcPr>
            <w:tcW w:w="58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408C8" w14:textId="77777777" w:rsidR="00241471" w:rsidRPr="00AE78F9" w:rsidRDefault="00241471" w:rsidP="00241471">
            <w:pPr>
              <w:pStyle w:val="TableParagraph"/>
              <w:spacing w:line="267" w:lineRule="exact"/>
              <w:ind w:left="68" w:right="4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25,43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%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(vinte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cinco</w:t>
            </w:r>
            <w:r w:rsidRPr="00AE78F9">
              <w:rPr>
                <w:rFonts w:ascii="Times New Roman" w:hAnsi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quarenta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três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cento)</w:t>
            </w:r>
          </w:p>
        </w:tc>
      </w:tr>
      <w:tr w:rsidR="00241471" w:rsidRPr="00AE78F9" w14:paraId="73EA71EC" w14:textId="77777777" w:rsidTr="00241471">
        <w:trPr>
          <w:trHeight w:hRule="exact" w:val="1114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B730D" w14:textId="77777777" w:rsidR="00241471" w:rsidRPr="00AE78F9" w:rsidRDefault="00241471" w:rsidP="00241471">
            <w:pPr>
              <w:pStyle w:val="TableParagraph"/>
              <w:spacing w:before="5" w:line="224" w:lineRule="auto"/>
              <w:ind w:left="66"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Incidência</w:t>
            </w:r>
            <w:r w:rsidRPr="00AE78F9">
              <w:rPr>
                <w:rFonts w:ascii="Times New Roman" w:hAnsi="Times New Roman"/>
                <w:spacing w:val="31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do</w:t>
            </w:r>
            <w:r w:rsidRPr="00AE78F9">
              <w:rPr>
                <w:rFonts w:ascii="Times New Roman" w:hAnsi="Times New Roman"/>
                <w:spacing w:val="3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Submódulo</w:t>
            </w:r>
            <w:r w:rsidRPr="00AE78F9">
              <w:rPr>
                <w:rFonts w:ascii="Times New Roman" w:hAnsi="Times New Roman"/>
                <w:spacing w:val="32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4.1</w:t>
            </w:r>
            <w:r w:rsidRPr="00AE78F9">
              <w:rPr>
                <w:rFonts w:ascii="Times New Roman" w:hAnsi="Times New Roman"/>
                <w:spacing w:val="3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sobre</w:t>
            </w:r>
            <w:r w:rsidRPr="00AE78F9">
              <w:rPr>
                <w:rFonts w:ascii="Times New Roman" w:hAnsi="Times New Roman"/>
                <w:spacing w:val="21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férias,</w:t>
            </w:r>
            <w:r w:rsidRPr="00AE78F9">
              <w:rPr>
                <w:rFonts w:ascii="Times New Roman" w:hAnsi="Times New Roman"/>
                <w:spacing w:val="5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1/3</w:t>
            </w:r>
            <w:r w:rsidRPr="00AE78F9">
              <w:rPr>
                <w:rFonts w:ascii="Times New Roman" w:hAnsi="Times New Roman"/>
                <w:spacing w:val="1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(um</w:t>
            </w:r>
            <w:r w:rsidRPr="00AE78F9">
              <w:rPr>
                <w:rFonts w:ascii="Times New Roman" w:hAnsi="Times New Roman"/>
                <w:spacing w:val="5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terço)</w:t>
            </w:r>
            <w:r w:rsidRPr="00AE78F9">
              <w:rPr>
                <w:rFonts w:ascii="Times New Roman" w:hAnsi="Times New Roman"/>
                <w:spacing w:val="58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constitucional</w:t>
            </w:r>
            <w:r w:rsidRPr="00AE78F9">
              <w:rPr>
                <w:rFonts w:ascii="Times New Roman" w:hAnsi="Times New Roman"/>
                <w:spacing w:val="5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de</w:t>
            </w:r>
            <w:r w:rsidRPr="00AE78F9">
              <w:rPr>
                <w:rFonts w:ascii="Times New Roman" w:hAnsi="Times New Roman"/>
                <w:spacing w:val="47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férias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8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13</w:t>
            </w:r>
            <w:r w:rsidRPr="00AE78F9">
              <w:rPr>
                <w:rFonts w:ascii="Times New Roman" w:hAnsi="Times New Roman"/>
                <w:position w:val="11"/>
                <w:sz w:val="20"/>
                <w:szCs w:val="20"/>
                <w:lang w:val="pt-BR"/>
              </w:rPr>
              <w:t>o</w:t>
            </w:r>
            <w:r w:rsidRPr="00AE78F9">
              <w:rPr>
                <w:rFonts w:ascii="Times New Roman" w:hAnsi="Times New Roman"/>
                <w:spacing w:val="12"/>
                <w:position w:val="11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(décimo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terceiro)</w:t>
            </w:r>
            <w:r w:rsidRPr="00AE78F9">
              <w:rPr>
                <w:rFonts w:ascii="Times New Roman" w:hAnsi="Times New Roman"/>
                <w:spacing w:val="-8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salário*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993DD" w14:textId="77777777" w:rsidR="00241471" w:rsidRPr="00AE78F9" w:rsidRDefault="00241471" w:rsidP="00241471">
            <w:pPr>
              <w:pStyle w:val="TableParagraph"/>
              <w:spacing w:line="267" w:lineRule="exact"/>
              <w:ind w:left="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/>
                <w:sz w:val="20"/>
                <w:szCs w:val="20"/>
                <w:lang w:val="pt-BR"/>
              </w:rPr>
              <w:t>7,39</w:t>
            </w:r>
            <w:r w:rsidRPr="00AE78F9">
              <w:rPr>
                <w:rFonts w:asci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/>
                <w:sz w:val="20"/>
                <w:szCs w:val="20"/>
                <w:lang w:val="pt-BR"/>
              </w:rPr>
              <w:t>%</w:t>
            </w:r>
          </w:p>
          <w:p w14:paraId="541A4C77" w14:textId="77777777" w:rsidR="00241471" w:rsidRPr="00AE78F9" w:rsidRDefault="00241471" w:rsidP="00241471">
            <w:pPr>
              <w:pStyle w:val="TableParagraph"/>
              <w:ind w:left="123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(sete</w:t>
            </w:r>
            <w:r w:rsidRPr="00AE78F9">
              <w:rPr>
                <w:rFonts w:ascii="Times New Roman" w:hAnsi="Times New Roman"/>
                <w:spacing w:val="-10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trinta</w:t>
            </w:r>
            <w:r w:rsidRPr="00AE78F9">
              <w:rPr>
                <w:rFonts w:ascii="Times New Roman" w:hAnsi="Times New Roman"/>
                <w:spacing w:val="27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nove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cento)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46081" w14:textId="77777777" w:rsidR="00241471" w:rsidRPr="00AE78F9" w:rsidRDefault="00241471" w:rsidP="00241471">
            <w:pPr>
              <w:pStyle w:val="TableParagraph"/>
              <w:spacing w:line="267" w:lineRule="exact"/>
              <w:ind w:left="3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/>
                <w:sz w:val="20"/>
                <w:szCs w:val="20"/>
                <w:lang w:val="pt-BR"/>
              </w:rPr>
              <w:t>7,60</w:t>
            </w:r>
            <w:r w:rsidRPr="00AE78F9">
              <w:rPr>
                <w:rFonts w:asci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/>
                <w:sz w:val="20"/>
                <w:szCs w:val="20"/>
                <w:lang w:val="pt-BR"/>
              </w:rPr>
              <w:t>%</w:t>
            </w:r>
          </w:p>
          <w:p w14:paraId="2D26DE3A" w14:textId="77777777" w:rsidR="00241471" w:rsidRPr="00AE78F9" w:rsidRDefault="00241471" w:rsidP="00241471">
            <w:pPr>
              <w:pStyle w:val="TableParagraph"/>
              <w:ind w:left="361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(sete</w:t>
            </w:r>
            <w:r w:rsidRPr="00AE78F9">
              <w:rPr>
                <w:rFonts w:ascii="Times New Roman" w:hAnsi="Times New Roman"/>
                <w:spacing w:val="-1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28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sessenta</w:t>
            </w:r>
            <w:r w:rsidRPr="00AE78F9">
              <w:rPr>
                <w:rFonts w:ascii="Times New Roman" w:hAnsi="Times New Roman"/>
                <w:spacing w:val="-1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26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cento)</w:t>
            </w:r>
          </w:p>
        </w:tc>
        <w:tc>
          <w:tcPr>
            <w:tcW w:w="1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814BC" w14:textId="77777777" w:rsidR="00241471" w:rsidRPr="00AE78F9" w:rsidRDefault="00241471" w:rsidP="00241471">
            <w:pPr>
              <w:pStyle w:val="TableParagraph"/>
              <w:spacing w:line="267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/>
                <w:sz w:val="20"/>
                <w:szCs w:val="20"/>
                <w:lang w:val="pt-BR"/>
              </w:rPr>
              <w:t>7,82</w:t>
            </w:r>
            <w:r w:rsidRPr="00AE78F9">
              <w:rPr>
                <w:rFonts w:asci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/>
                <w:sz w:val="20"/>
                <w:szCs w:val="20"/>
                <w:lang w:val="pt-BR"/>
              </w:rPr>
              <w:t>%</w:t>
            </w:r>
          </w:p>
          <w:p w14:paraId="67B05CF1" w14:textId="77777777" w:rsidR="00241471" w:rsidRPr="00AE78F9" w:rsidRDefault="00241471" w:rsidP="00241471">
            <w:pPr>
              <w:pStyle w:val="TableParagraph"/>
              <w:ind w:left="145" w:right="4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(sete</w:t>
            </w:r>
            <w:r w:rsidRPr="00AE78F9">
              <w:rPr>
                <w:rFonts w:ascii="Times New Roman" w:hAnsi="Times New Roman"/>
                <w:spacing w:val="-13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28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oitenta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dois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26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cento)</w:t>
            </w:r>
          </w:p>
        </w:tc>
      </w:tr>
      <w:tr w:rsidR="00241471" w:rsidRPr="00AE78F9" w14:paraId="1DCE1C6F" w14:textId="77777777" w:rsidTr="00241471">
        <w:trPr>
          <w:trHeight w:hRule="exact" w:val="840"/>
          <w:jc w:val="center"/>
        </w:trPr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04216BEA" w14:textId="77777777" w:rsidR="00241471" w:rsidRPr="00AE78F9" w:rsidRDefault="00241471" w:rsidP="00241471">
            <w:pPr>
              <w:pStyle w:val="TableParagraph"/>
              <w:spacing w:line="267" w:lineRule="exact"/>
              <w:ind w:left="66" w:right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8F9">
              <w:rPr>
                <w:rFonts w:ascii="Times New Roman"/>
                <w:spacing w:val="-1"/>
                <w:sz w:val="20"/>
                <w:szCs w:val="20"/>
              </w:rPr>
              <w:t>Total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 w14:paraId="1135A92E" w14:textId="77777777" w:rsidR="00241471" w:rsidRPr="00AE78F9" w:rsidRDefault="00241471" w:rsidP="00241471">
            <w:pPr>
              <w:pStyle w:val="TableParagraph"/>
              <w:ind w:left="78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32,82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%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(trinta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25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dois</w:t>
            </w:r>
            <w:r w:rsidRPr="00AE78F9">
              <w:rPr>
                <w:rFonts w:ascii="Times New Roman" w:hAnsi="Times New Roman"/>
                <w:spacing w:val="-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10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oitenta</w:t>
            </w:r>
            <w:r w:rsidRPr="00AE78F9">
              <w:rPr>
                <w:rFonts w:ascii="Times New Roman" w:hAnsi="Times New Roman"/>
                <w:spacing w:val="29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dois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cento)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 w14:paraId="52A813E4" w14:textId="77777777" w:rsidR="00241471" w:rsidRPr="00AE78F9" w:rsidRDefault="00241471" w:rsidP="00241471">
            <w:pPr>
              <w:pStyle w:val="TableParagraph"/>
              <w:ind w:left="176" w:right="4" w:hanging="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33,03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%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(trinta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25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três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zero</w:t>
            </w:r>
            <w:r w:rsidRPr="00AE78F9">
              <w:rPr>
                <w:rFonts w:ascii="Times New Roman" w:hAnsi="Times New Roman"/>
                <w:spacing w:val="21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três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cento)</w:t>
            </w:r>
          </w:p>
        </w:tc>
        <w:tc>
          <w:tcPr>
            <w:tcW w:w="196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31" w:space="0" w:color="CCCCCC"/>
            </w:tcBorders>
            <w:shd w:val="clear" w:color="auto" w:fill="CCCCCC"/>
          </w:tcPr>
          <w:p w14:paraId="150FE4ED" w14:textId="77777777" w:rsidR="00241471" w:rsidRPr="00AE78F9" w:rsidRDefault="00241471" w:rsidP="00241471">
            <w:pPr>
              <w:pStyle w:val="TableParagraph"/>
              <w:ind w:left="80" w:right="4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33,25</w:t>
            </w:r>
            <w:r w:rsidRPr="00AE78F9">
              <w:rPr>
                <w:rFonts w:ascii="Times New Roman" w:hAnsi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%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(trinta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25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três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vírgula</w:t>
            </w:r>
            <w:r w:rsidRPr="00AE78F9">
              <w:rPr>
                <w:rFonts w:ascii="Times New Roman" w:hAnsi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vinte</w:t>
            </w:r>
            <w:r w:rsidRPr="00AE78F9">
              <w:rPr>
                <w:rFonts w:ascii="Times New Roman" w:hAnsi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e</w:t>
            </w:r>
            <w:r w:rsidRPr="00AE78F9">
              <w:rPr>
                <w:rFonts w:ascii="Times New Roman" w:hAnsi="Times New Roman"/>
                <w:spacing w:val="27"/>
                <w:w w:val="99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pacing w:val="-1"/>
                <w:sz w:val="20"/>
                <w:szCs w:val="20"/>
                <w:lang w:val="pt-BR"/>
              </w:rPr>
              <w:t>cinco</w:t>
            </w:r>
            <w:r w:rsidRPr="00AE78F9">
              <w:rPr>
                <w:rFonts w:ascii="Times New Roman" w:hAnsi="Times New Roman"/>
                <w:spacing w:val="-8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por</w:t>
            </w:r>
            <w:r w:rsidRPr="00AE78F9">
              <w:rPr>
                <w:rFonts w:ascii="Times New Roman" w:hAnsi="Times New Roman"/>
                <w:spacing w:val="-8"/>
                <w:sz w:val="20"/>
                <w:szCs w:val="20"/>
                <w:lang w:val="pt-BR"/>
              </w:rPr>
              <w:t xml:space="preserve"> </w:t>
            </w:r>
            <w:r w:rsidRPr="00AE78F9">
              <w:rPr>
                <w:rFonts w:ascii="Times New Roman" w:hAnsi="Times New Roman"/>
                <w:sz w:val="20"/>
                <w:szCs w:val="20"/>
                <w:lang w:val="pt-BR"/>
              </w:rPr>
              <w:t>cento)</w:t>
            </w:r>
          </w:p>
        </w:tc>
      </w:tr>
    </w:tbl>
    <w:p w14:paraId="07259AFB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48B73BB1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3879CB18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337130B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* Considerando as alíquotas de contribuição de 1% (um por cento), 2% (dois por cento) ou 3% (três por cento) referentes ao grau de risco de acidente do trabalho, previstas no art. 22, inciso II, da Lei no 8.212, de 24 de julho de 1991.</w:t>
      </w:r>
    </w:p>
    <w:p w14:paraId="18676E0C" w14:textId="77777777" w:rsidR="00241471" w:rsidRPr="00AE78F9" w:rsidRDefault="00241471" w:rsidP="00241471">
      <w:pPr>
        <w:ind w:right="4"/>
        <w:jc w:val="both"/>
        <w:rPr>
          <w:rFonts w:ascii="Times New Roman" w:hAnsi="Times New Roman" w:cs="Times New Roman"/>
          <w:sz w:val="20"/>
        </w:rPr>
      </w:pPr>
    </w:p>
    <w:p w14:paraId="5EF38156" w14:textId="409F5AF2" w:rsidR="009B15B9" w:rsidRDefault="009B15B9" w:rsidP="008E6229">
      <w:pPr>
        <w:pStyle w:val="Nvel2"/>
        <w:numPr>
          <w:ilvl w:val="0"/>
          <w:numId w:val="0"/>
        </w:numPr>
        <w:ind w:left="792" w:hanging="432"/>
      </w:pPr>
    </w:p>
    <w:p w14:paraId="5B7491FD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p w14:paraId="22117F5D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p w14:paraId="144FCE35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p w14:paraId="54A67C4D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p w14:paraId="11FB86E5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p w14:paraId="7972A866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p w14:paraId="3EB34D83" w14:textId="77777777" w:rsidR="00B8536C" w:rsidRDefault="00B8536C" w:rsidP="008E6229">
      <w:pPr>
        <w:pStyle w:val="Nvel2"/>
        <w:numPr>
          <w:ilvl w:val="0"/>
          <w:numId w:val="0"/>
        </w:numPr>
        <w:ind w:left="792" w:hanging="432"/>
      </w:pPr>
    </w:p>
    <w:sectPr w:rsidR="00B8536C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6A222" w14:textId="77777777" w:rsidR="00675E9C" w:rsidRDefault="00675E9C" w:rsidP="00E038BE">
      <w:pPr>
        <w:spacing w:line="240" w:lineRule="auto"/>
      </w:pPr>
      <w:r>
        <w:separator/>
      </w:r>
    </w:p>
  </w:endnote>
  <w:endnote w:type="continuationSeparator" w:id="0">
    <w:p w14:paraId="22634CB8" w14:textId="77777777" w:rsidR="00675E9C" w:rsidRDefault="00675E9C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66D34" w14:textId="77777777" w:rsidR="00675E9C" w:rsidRDefault="00675E9C" w:rsidP="00E038BE">
      <w:pPr>
        <w:spacing w:line="240" w:lineRule="auto"/>
      </w:pPr>
      <w:r>
        <w:separator/>
      </w:r>
    </w:p>
  </w:footnote>
  <w:footnote w:type="continuationSeparator" w:id="0">
    <w:p w14:paraId="632898EB" w14:textId="77777777" w:rsidR="00675E9C" w:rsidRDefault="00675E9C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175DF"/>
    <w:rsid w:val="00020F54"/>
    <w:rsid w:val="00021AF0"/>
    <w:rsid w:val="00022413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66"/>
    <w:rsid w:val="000F04DC"/>
    <w:rsid w:val="000F0880"/>
    <w:rsid w:val="000F24BB"/>
    <w:rsid w:val="000F2E1D"/>
    <w:rsid w:val="000F38F7"/>
    <w:rsid w:val="000F3C8B"/>
    <w:rsid w:val="000F3CF9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2B5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4008"/>
    <w:rsid w:val="002F4E40"/>
    <w:rsid w:val="002F51FC"/>
    <w:rsid w:val="002F66B0"/>
    <w:rsid w:val="002F70E6"/>
    <w:rsid w:val="002F7CD8"/>
    <w:rsid w:val="00300AEF"/>
    <w:rsid w:val="003018CC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804"/>
    <w:rsid w:val="00473FD4"/>
    <w:rsid w:val="00474B87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C38"/>
    <w:rsid w:val="004A5F55"/>
    <w:rsid w:val="004A64CE"/>
    <w:rsid w:val="004A76D3"/>
    <w:rsid w:val="004B1FE6"/>
    <w:rsid w:val="004B55E1"/>
    <w:rsid w:val="004B5B6F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58B4"/>
    <w:rsid w:val="005C6548"/>
    <w:rsid w:val="005D067E"/>
    <w:rsid w:val="005D6A5A"/>
    <w:rsid w:val="005E2888"/>
    <w:rsid w:val="005E385A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6ECE"/>
    <w:rsid w:val="006679FB"/>
    <w:rsid w:val="0067263B"/>
    <w:rsid w:val="00674D8F"/>
    <w:rsid w:val="00675E9C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0B1A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8F7607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A0A9E"/>
    <w:rsid w:val="009A32A5"/>
    <w:rsid w:val="009A4F44"/>
    <w:rsid w:val="009A6181"/>
    <w:rsid w:val="009B15B9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9F6E7E"/>
    <w:rsid w:val="00A01E26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523"/>
    <w:rsid w:val="00A64DE3"/>
    <w:rsid w:val="00A6545D"/>
    <w:rsid w:val="00A65654"/>
    <w:rsid w:val="00A6651F"/>
    <w:rsid w:val="00A66B1C"/>
    <w:rsid w:val="00A72B88"/>
    <w:rsid w:val="00A7470C"/>
    <w:rsid w:val="00A76805"/>
    <w:rsid w:val="00A7740F"/>
    <w:rsid w:val="00A778FF"/>
    <w:rsid w:val="00A77961"/>
    <w:rsid w:val="00A827D7"/>
    <w:rsid w:val="00A828EF"/>
    <w:rsid w:val="00A83126"/>
    <w:rsid w:val="00A87648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5BA"/>
    <w:rsid w:val="00AC46B3"/>
    <w:rsid w:val="00AC4CB4"/>
    <w:rsid w:val="00AC5F72"/>
    <w:rsid w:val="00AC62E8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577E"/>
    <w:rsid w:val="00AF6F61"/>
    <w:rsid w:val="00AF7008"/>
    <w:rsid w:val="00AF709A"/>
    <w:rsid w:val="00B002E8"/>
    <w:rsid w:val="00B00C06"/>
    <w:rsid w:val="00B0235E"/>
    <w:rsid w:val="00B050DA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5D1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7B1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496B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6</cp:revision>
  <cp:lastPrinted>2020-01-08T18:48:00Z</cp:lastPrinted>
  <dcterms:created xsi:type="dcterms:W3CDTF">2025-01-10T09:28:00Z</dcterms:created>
  <dcterms:modified xsi:type="dcterms:W3CDTF">2025-01-10T10:08:00Z</dcterms:modified>
</cp:coreProperties>
</file>